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4D" w:rsidRPr="00C21074" w:rsidRDefault="00390C4D" w:rsidP="00390C4D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Общие  итоги  внешней  торговли  </w:t>
      </w:r>
      <w:r w:rsidR="00042396" w:rsidRPr="00C21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Белгородской</w:t>
      </w:r>
      <w:r w:rsidR="00EC14C1" w:rsidRPr="00C21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  <w:r w:rsidRPr="00C21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90C4D" w:rsidRPr="00C21074" w:rsidRDefault="00DA139B" w:rsidP="00390C4D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</w:t>
      </w:r>
      <w:r w:rsidR="005532D8" w:rsidRPr="00C21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90C4D" w:rsidRPr="00C21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</w:t>
      </w:r>
      <w:r w:rsidR="00244045" w:rsidRPr="00C21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="00390C4D" w:rsidRPr="00C21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832A65" w:rsidRPr="00C21074" w:rsidRDefault="00832A65" w:rsidP="00F8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02F" w:rsidRPr="00C21074" w:rsidRDefault="0029402F" w:rsidP="00F8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210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долларов США</w:t>
      </w:r>
    </w:p>
    <w:tbl>
      <w:tblPr>
        <w:tblW w:w="9958" w:type="dxa"/>
        <w:tblInd w:w="93" w:type="dxa"/>
        <w:tblLook w:val="04A0" w:firstRow="1" w:lastRow="0" w:firstColumn="1" w:lastColumn="0" w:noHBand="0" w:noVBand="1"/>
      </w:tblPr>
      <w:tblGrid>
        <w:gridCol w:w="1858"/>
        <w:gridCol w:w="1134"/>
        <w:gridCol w:w="1276"/>
        <w:gridCol w:w="1134"/>
        <w:gridCol w:w="1276"/>
        <w:gridCol w:w="1640"/>
        <w:gridCol w:w="1640"/>
      </w:tblGrid>
      <w:tr w:rsidR="00C21074" w:rsidRPr="00C21074" w:rsidTr="003F5383">
        <w:trPr>
          <w:trHeight w:val="60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Показатели итогов внешней торговли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Темп роста, %</w:t>
            </w:r>
          </w:p>
        </w:tc>
      </w:tr>
      <w:tr w:rsidR="00C21074" w:rsidRPr="00C21074" w:rsidTr="003F5383">
        <w:trPr>
          <w:trHeight w:val="100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январь </w:t>
            </w:r>
            <w:proofErr w:type="gramStart"/>
            <w:r w:rsidRPr="00C210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-д</w:t>
            </w:r>
            <w:proofErr w:type="gramEnd"/>
            <w:r w:rsidRPr="00C210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январь </w:t>
            </w:r>
            <w:proofErr w:type="gramStart"/>
            <w:r w:rsidRPr="00C210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-д</w:t>
            </w:r>
            <w:proofErr w:type="gramEnd"/>
            <w:r w:rsidRPr="00C210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екабрь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квартал 2019/4 квартал 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январь </w:t>
            </w:r>
            <w:proofErr w:type="gramStart"/>
            <w:r w:rsidRPr="00C210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-д</w:t>
            </w:r>
            <w:proofErr w:type="gramEnd"/>
            <w:r w:rsidRPr="00C210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екабрь 2019/январь -декабрь 2018</w:t>
            </w:r>
          </w:p>
        </w:tc>
      </w:tr>
      <w:tr w:rsidR="00C21074" w:rsidRPr="00C21074" w:rsidTr="003F5383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ТОВАРООБОРОТ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1 282 283,2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4 825 966,2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1 179 743,6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4 739 683,1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98,2</w:t>
            </w:r>
          </w:p>
        </w:tc>
      </w:tr>
      <w:tr w:rsidR="00C21074" w:rsidRPr="00C21074" w:rsidTr="003F5383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893 213,4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3 339 481,7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780 998,2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3 254 030,8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97,4</w:t>
            </w:r>
          </w:p>
        </w:tc>
      </w:tr>
      <w:tr w:rsidR="00C21074" w:rsidRPr="00C21074" w:rsidTr="003F5383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389 069,8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1 486 484,5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398 745,4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1 485 652,3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99,9</w:t>
            </w:r>
          </w:p>
        </w:tc>
      </w:tr>
      <w:tr w:rsidR="003F5383" w:rsidRPr="00C21074" w:rsidTr="003F5383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САЛЬДО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504 143,6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1 852 997,2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382 252,8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1 768 378,5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ХХХ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383" w:rsidRPr="00C21074" w:rsidRDefault="003F5383" w:rsidP="003F53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10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ХХХ</w:t>
            </w:r>
          </w:p>
        </w:tc>
      </w:tr>
    </w:tbl>
    <w:p w:rsidR="0029402F" w:rsidRPr="00C21074" w:rsidRDefault="0029402F" w:rsidP="00F833BC">
      <w:pPr>
        <w:spacing w:after="0" w:line="240" w:lineRule="auto"/>
        <w:rPr>
          <w:rFonts w:ascii="Times New Roman" w:hAnsi="Times New Roman" w:cs="Times New Roman"/>
        </w:rPr>
      </w:pPr>
    </w:p>
    <w:p w:rsidR="00207E52" w:rsidRPr="00C21074" w:rsidRDefault="00207E52" w:rsidP="00207E52">
      <w:pPr>
        <w:tabs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данным таможенной статистики </w:t>
      </w:r>
      <w:r w:rsidR="003A0325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за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3211D7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предприятия и организации, зарегистрированные </w:t>
      </w:r>
      <w:r w:rsidR="00EC14C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43208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Белгородской</w:t>
      </w:r>
      <w:r w:rsidR="00EC14C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области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 осуществляли торговлю с</w:t>
      </w:r>
      <w:r w:rsidR="00D177DA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о 1</w:t>
      </w:r>
      <w:r w:rsidR="00C56A7A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3F5383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стран</w:t>
      </w:r>
      <w:r w:rsidR="002B0080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ами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мира. </w:t>
      </w:r>
      <w:r w:rsidR="001D45B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Их количество </w:t>
      </w:r>
      <w:r w:rsidR="003F5383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уменьшилось</w:t>
      </w:r>
      <w:r w:rsidR="001D45B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по отношению к 201</w:t>
      </w:r>
      <w:r w:rsidR="003211D7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1D45B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  <w:r w:rsidR="003F5383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="001D45B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</w:t>
      </w:r>
      <w:r w:rsidR="003F5383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1D45B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F5383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1D45B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 (на </w:t>
      </w:r>
      <w:r w:rsidR="003F5383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1D45B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стран).</w:t>
      </w:r>
    </w:p>
    <w:p w:rsidR="008A6494" w:rsidRPr="00C21074" w:rsidRDefault="008A6494" w:rsidP="008A6494">
      <w:pPr>
        <w:tabs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Внешнеторговый оборот Белгородской области за </w:t>
      </w:r>
      <w:r w:rsidR="0015713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E21F05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15713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составил </w:t>
      </w:r>
      <w:r w:rsidR="00301B3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4739</w:t>
      </w:r>
      <w:r w:rsidR="00E21F05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01B3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млн. долларов США и по сравнению с 201</w:t>
      </w:r>
      <w:r w:rsidR="00E21F05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  <w:r w:rsidR="00301B3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01B3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уменьшился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</w:t>
      </w:r>
      <w:r w:rsidR="00301B3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01B3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 %.</w:t>
      </w:r>
    </w:p>
    <w:p w:rsidR="008A6494" w:rsidRPr="00C21074" w:rsidRDefault="008A6494" w:rsidP="008A6494">
      <w:pPr>
        <w:tabs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Экспорт </w:t>
      </w:r>
      <w:r w:rsidR="002C2AB2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уменьшился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</w:t>
      </w:r>
      <w:r w:rsidR="002C2AB2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2C2AB2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% и составил </w:t>
      </w:r>
      <w:r w:rsidR="0093268C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3254</w:t>
      </w:r>
      <w:r w:rsidR="0035023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93268C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млн. долларов США за счет </w:t>
      </w:r>
      <w:r w:rsidR="00352849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снижения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52849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экспорт</w:t>
      </w:r>
      <w:r w:rsidR="00352849">
        <w:rPr>
          <w:rFonts w:ascii="Times New Roman" w:eastAsia="Times New Roman" w:hAnsi="Times New Roman" w:cs="Times New Roman"/>
          <w:sz w:val="24"/>
          <w:szCs w:val="20"/>
          <w:lang w:eastAsia="ru-RU"/>
        </w:rPr>
        <w:t>ных поставок</w:t>
      </w:r>
      <w:r w:rsidR="00352849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страны дальнего зарубежья (ДЗ) на 4,6</w:t>
      </w:r>
      <w:r w:rsidR="003528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%, при этом 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экспо</w:t>
      </w:r>
      <w:proofErr w:type="gramStart"/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рт</w:t>
      </w:r>
      <w:r w:rsidR="003528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в стр</w:t>
      </w:r>
      <w:proofErr w:type="gramEnd"/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аны </w:t>
      </w:r>
      <w:r w:rsidR="00963F2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СНГ </w:t>
      </w:r>
      <w:r w:rsidR="003528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увеличился 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</w:t>
      </w:r>
      <w:r w:rsidR="001B3CB2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8836A3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1B3CB2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%, </w:t>
      </w:r>
    </w:p>
    <w:p w:rsidR="008A6494" w:rsidRPr="00C21074" w:rsidRDefault="008A6494" w:rsidP="00D7643C">
      <w:pPr>
        <w:tabs>
          <w:tab w:val="left" w:pos="113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Стоимостные объемы импорта по отношению к 201</w:t>
      </w:r>
      <w:r w:rsidR="00955ECD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D7643C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</w:t>
      </w:r>
      <w:r w:rsidR="00773AF0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73AF0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незначительно </w:t>
      </w:r>
      <w:r w:rsidR="004D6B30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снизились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</w:t>
      </w:r>
      <w:r w:rsidR="00773AF0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773AF0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 %  и составили</w:t>
      </w:r>
      <w:r w:rsidR="006E7ADD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34DA3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773AF0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485</w:t>
      </w:r>
      <w:r w:rsidR="006E7ADD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773AF0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6E7ADD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5023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млн. долларов США.</w:t>
      </w:r>
    </w:p>
    <w:p w:rsidR="005F4A33" w:rsidRPr="00C21074" w:rsidRDefault="008A6494" w:rsidP="008A6494">
      <w:pPr>
        <w:tabs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итогам истекшего периода сальдо торгового баланса сложилось положительное и составило </w:t>
      </w:r>
      <w:r w:rsidR="00BD4318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1768</w:t>
      </w:r>
      <w:r w:rsidR="0035023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962DF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млн. долларов США. </w:t>
      </w:r>
    </w:p>
    <w:p w:rsidR="008A6494" w:rsidRPr="00C21074" w:rsidRDefault="008A6494" w:rsidP="008A6494">
      <w:pPr>
        <w:tabs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Экспорт товаров из Белгородской области по стоимости превышает объемы импорта в этот регион</w:t>
      </w:r>
      <w:r w:rsidR="009041E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39219C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8C2D0C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250D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раза.</w:t>
      </w:r>
    </w:p>
    <w:p w:rsidR="008A6494" w:rsidRPr="00C21074" w:rsidRDefault="008A6494" w:rsidP="008A6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494" w:rsidRPr="00C21074" w:rsidRDefault="008A6494" w:rsidP="008A6494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Итоги внешней торговли Белгородской области со странами дальнего зарубежья </w:t>
      </w:r>
    </w:p>
    <w:p w:rsidR="008A6494" w:rsidRPr="00C21074" w:rsidRDefault="008A6494" w:rsidP="008A649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6494" w:rsidRPr="00C21074" w:rsidRDefault="008A6494" w:rsidP="008A6494">
      <w:pPr>
        <w:tabs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Товарооборот Белгородской области со странами дальнего зарубежья за 201</w:t>
      </w:r>
      <w:r w:rsidR="00AE1872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составил </w:t>
      </w:r>
      <w:r w:rsidR="00D159C7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3041</w:t>
      </w:r>
      <w:r w:rsidR="00BE79C2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D159C7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млн. долларов США и по сравнению с 201</w:t>
      </w:r>
      <w:r w:rsidR="00AE1872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56AA9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</w:t>
      </w:r>
      <w:r w:rsidR="0081633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="00356AA9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F7053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снизился</w:t>
      </w:r>
      <w:r w:rsidR="00356AA9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</w:t>
      </w:r>
      <w:r w:rsidR="0081633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1633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%.</w:t>
      </w:r>
    </w:p>
    <w:p w:rsidR="008A6494" w:rsidRPr="00C21074" w:rsidRDefault="008A6494" w:rsidP="008A6494">
      <w:pPr>
        <w:tabs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Оборот внешней торговли со странами ДЗ в </w:t>
      </w:r>
      <w:r w:rsidR="00AA6630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1,</w:t>
      </w:r>
      <w:r w:rsidR="00D013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AA6630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раза превышает оборот со странами СНГ.</w:t>
      </w:r>
    </w:p>
    <w:p w:rsidR="008A6494" w:rsidRPr="00C21074" w:rsidRDefault="008A6494" w:rsidP="008A6494">
      <w:pPr>
        <w:tabs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Экспо</w:t>
      </w:r>
      <w:proofErr w:type="gramStart"/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рт в стр</w:t>
      </w:r>
      <w:proofErr w:type="gramEnd"/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аны дальнего зарубежья </w:t>
      </w:r>
      <w:r w:rsidR="00AA6630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уменьшился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</w:t>
      </w:r>
      <w:r w:rsidR="00D013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D013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% и составил </w:t>
      </w:r>
      <w:r w:rsidR="00D013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2335</w:t>
      </w:r>
      <w:r w:rsidR="006638C7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962DF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млн. долларов США. Импорт из стран ДЗ составил </w:t>
      </w:r>
      <w:r w:rsidR="00D013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706</w:t>
      </w:r>
      <w:r w:rsidR="00224909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962DF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млн. долларов США и по отношению к 201</w:t>
      </w:r>
      <w:r w:rsidR="000C6326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  <w:r w:rsidR="00D013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215F2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увеличился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</w:t>
      </w:r>
      <w:r w:rsidR="00D013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D013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%. </w:t>
      </w:r>
    </w:p>
    <w:p w:rsidR="008A6494" w:rsidRPr="00C21074" w:rsidRDefault="008A6494" w:rsidP="008A6494">
      <w:pPr>
        <w:tabs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итогам истекшего периода внешняя торговля со странами дальнего зарубежья характеризуется положительным сальдо – </w:t>
      </w:r>
      <w:r w:rsidR="00306F0F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074DA3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628</w:t>
      </w:r>
      <w:r w:rsidR="00750E93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962DF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млн. долларов США.</w:t>
      </w:r>
    </w:p>
    <w:p w:rsidR="005F2DF2" w:rsidRPr="00C21074" w:rsidRDefault="005F2DF2" w:rsidP="008A649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6494" w:rsidRPr="00C21074" w:rsidRDefault="008A6494" w:rsidP="008A649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Итоги внешней торговли Белгородской области со странами СНГ </w:t>
      </w:r>
    </w:p>
    <w:p w:rsidR="008A6494" w:rsidRPr="00C21074" w:rsidRDefault="008A6494" w:rsidP="008A6494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6494" w:rsidRDefault="008A6494" w:rsidP="00181F8A">
      <w:pPr>
        <w:tabs>
          <w:tab w:val="left" w:pos="1134"/>
        </w:tabs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Объем внешней торговли Белгородской области с государствами СНГ </w:t>
      </w:r>
      <w:r w:rsidR="00DC46EA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(с учётом стран - членов ЕАЭС) 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за 201</w:t>
      </w:r>
      <w:r w:rsidR="00025DF2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составил </w:t>
      </w:r>
      <w:r w:rsidR="00ED193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4033F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ED193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97</w:t>
      </w:r>
      <w:r w:rsidR="001132DF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4033F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млн. долларов США, что на </w:t>
      </w:r>
      <w:r w:rsidR="004033F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D9095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4033F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% </w:t>
      </w:r>
      <w:r w:rsidR="004033F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меньше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показателей </w:t>
      </w:r>
      <w:r w:rsidR="00E9461F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за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025DF2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год, в том числе </w:t>
      </w:r>
      <w:r w:rsidR="000B4090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импорт – 778,9 млн. долларов США (снижение на 4,1%)</w:t>
      </w:r>
      <w:r w:rsidR="000B40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ED193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экспорт – </w:t>
      </w:r>
      <w:r w:rsidR="001331C7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919</w:t>
      </w:r>
      <w:r w:rsidR="00ED193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1331C7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ED193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млн. долларов США (увеличение на </w:t>
      </w:r>
      <w:r w:rsidR="001331C7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ED193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1331C7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ED193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 %)</w:t>
      </w:r>
      <w:r w:rsidR="00615018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B4090" w:rsidRPr="00C21074" w:rsidRDefault="000B4090" w:rsidP="000B4090">
      <w:pPr>
        <w:tabs>
          <w:tab w:val="left" w:pos="1134"/>
        </w:tabs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Снижение стоимостных объемов импорта обусловлено, в основном, уменьшением поставок из Украины (на 11,8% или  на 82,9 млн. долларов США) и Молдовы (на  38,2% </w:t>
      </w:r>
      <w:bookmarkStart w:id="0" w:name="_GoBack"/>
      <w:bookmarkEnd w:id="0"/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 на 8,6 млн. долларов США), при этом вырос объем импорта из  Беларуси (на 71,3% или </w:t>
      </w:r>
      <w:proofErr w:type="gramStart"/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46,3 млн. </w:t>
      </w:r>
      <w:proofErr w:type="gramStart"/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долларов</w:t>
      </w:r>
      <w:proofErr w:type="gramEnd"/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США).</w:t>
      </w:r>
    </w:p>
    <w:p w:rsidR="00904222" w:rsidRPr="00C21074" w:rsidRDefault="00904222" w:rsidP="00904222">
      <w:pPr>
        <w:tabs>
          <w:tab w:val="left" w:pos="1134"/>
        </w:tabs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увеличение стоимости экспорта повлияло, в первую очередь, рост вывоза российских товаров в </w:t>
      </w:r>
      <w:r w:rsidR="005E64C8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Молдову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0C5FDA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в 2,3 раза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на </w:t>
      </w:r>
      <w:r w:rsidR="000C5FDA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13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C5FDA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млн. долларов США), </w:t>
      </w:r>
      <w:r w:rsidR="000C5FDA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Узбекистан (на 9,2% или на 12,0 млн. долларов США) и 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Казахстан (на </w:t>
      </w:r>
      <w:r w:rsidR="000C5FDA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C5FDA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%  или на 1</w:t>
      </w:r>
      <w:r w:rsidR="000C5FDA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C5FDA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3 млн. долларов США)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 и при этом умень</w:t>
      </w:r>
      <w:r w:rsidR="000C5FDA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шился экспорт в Беларусь (на 7,1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%  или на 1</w:t>
      </w:r>
      <w:r w:rsidR="00746230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746230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млн. долларов США).</w:t>
      </w:r>
      <w:proofErr w:type="gramEnd"/>
    </w:p>
    <w:p w:rsidR="008A6494" w:rsidRPr="00C21074" w:rsidRDefault="008A6494" w:rsidP="00181F8A">
      <w:pPr>
        <w:tabs>
          <w:tab w:val="left" w:pos="1134"/>
        </w:tabs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Сальдо торгового баланса сложилось </w:t>
      </w:r>
      <w:r w:rsidR="00507139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положительное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составило </w:t>
      </w:r>
      <w:r w:rsidR="00500D33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2B40B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40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2B40B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млн. долларов США. </w:t>
      </w:r>
    </w:p>
    <w:p w:rsidR="008A6494" w:rsidRPr="00C21074" w:rsidRDefault="008A6494" w:rsidP="008A649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торговые партнеры Белгородской области</w:t>
      </w:r>
    </w:p>
    <w:p w:rsidR="008A6494" w:rsidRPr="00C21074" w:rsidRDefault="008A6494" w:rsidP="008A6494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057A0" w:rsidRPr="00C21074" w:rsidRDefault="008A6494" w:rsidP="008A6494">
      <w:pPr>
        <w:tabs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Основными торговыми партнерами Белгородской области </w:t>
      </w:r>
      <w:r w:rsidR="00674708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4600D6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1056A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  <w:r w:rsidR="004C3FC6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были: Украина – </w:t>
      </w:r>
      <w:r w:rsidR="001056A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% от всего товарооборота субъекта Российской Федерации (</w:t>
      </w:r>
      <w:r w:rsidR="004600D6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174938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="009E2C98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DD6582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DA0F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%), </w:t>
      </w:r>
      <w:r w:rsidR="009B37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Италия – </w:t>
      </w:r>
      <w:r w:rsidR="00EF554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1056A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9B37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% (</w:t>
      </w:r>
      <w:r w:rsidR="00DD6582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DA0F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9B37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DA0F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9B37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%), 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Китай  – 9,7% (2,</w:t>
      </w:r>
      <w:r w:rsidR="00DA0F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%), </w:t>
      </w:r>
      <w:r w:rsidR="00EF554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Германия – 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EF554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EF554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% (</w:t>
      </w:r>
      <w:r w:rsidR="004930E8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EF554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DA0F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EF554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%), </w:t>
      </w:r>
      <w:r w:rsidR="004D7D8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Турция – 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4D7D8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4D7D8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% (</w:t>
      </w:r>
      <w:r w:rsidR="00DA0F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4D7D8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DA0F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4D7D8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%),  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Беларусь – 5,9% (5,</w:t>
      </w:r>
      <w:r w:rsidR="00DA0F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%), </w:t>
      </w:r>
      <w:r w:rsidR="001056A1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Казахстан</w:t>
      </w:r>
      <w:r w:rsidR="009E2C98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="00874E1C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9E2C98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9E2C98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% (</w:t>
      </w:r>
      <w:r w:rsidR="00DD6582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9E2C98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DA0F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9E2C98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%), </w:t>
      </w:r>
      <w:r w:rsidR="004D7D8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Узбекистан</w:t>
      </w:r>
      <w:r w:rsidR="006A2C66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="004D7D8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6A2C66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6A2C66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% (</w:t>
      </w:r>
      <w:r w:rsidR="00DD6582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6A2C66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DA0F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6A2C66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%), 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Нидерланды – 2,6% (</w:t>
      </w:r>
      <w:r w:rsidR="00DA0F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DA0F1E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%), </w:t>
      </w:r>
      <w:r w:rsidR="00874E1C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Египет</w:t>
      </w:r>
      <w:r w:rsidR="004D7D8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2,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4D7D8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% (</w:t>
      </w:r>
      <w:r w:rsidR="004930E8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4D7D84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4930E8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E130EB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%)</w:t>
      </w:r>
      <w:r w:rsidR="00DD6582" w:rsidRPr="00C2107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A6494" w:rsidRPr="00E869AD" w:rsidRDefault="00036DAF" w:rsidP="008A6494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C1F8FF" wp14:editId="043B8E96">
            <wp:extent cx="6152515" cy="3041015"/>
            <wp:effectExtent l="0" t="0" r="19685" b="26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33E4B" w:rsidRDefault="00A33E4B" w:rsidP="008A649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6B0D" w:rsidRDefault="007C6B0D" w:rsidP="008A649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14E9" w:rsidRDefault="00E314E9" w:rsidP="008A649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6DAF" w:rsidRDefault="00036DAF" w:rsidP="008A649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6DAF" w:rsidRDefault="00036DAF" w:rsidP="008A649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21A7" w:rsidRPr="00656CE3" w:rsidRDefault="008A6494" w:rsidP="008A649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6C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Товарная структура ЭКСПОРТА Белгородской области</w:t>
      </w:r>
    </w:p>
    <w:p w:rsidR="00B921A7" w:rsidRPr="00590772" w:rsidRDefault="00B921A7" w:rsidP="008A649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5AC3" w:rsidRDefault="0025795E" w:rsidP="005E0FAD">
      <w:pPr>
        <w:tabs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DAA7AF" wp14:editId="675FBFD6">
            <wp:extent cx="4857750" cy="37909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5237" w:rsidRDefault="00275237" w:rsidP="008A649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45EF0" w:rsidRPr="00656CE3" w:rsidRDefault="008A6494" w:rsidP="008A649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6C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Товарная структура ИМПОРТА Белгородской области</w:t>
      </w:r>
    </w:p>
    <w:p w:rsidR="003E1376" w:rsidRPr="00590772" w:rsidRDefault="003E1376" w:rsidP="008A649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45EF0" w:rsidRPr="000A24AA" w:rsidRDefault="00045EF0" w:rsidP="008A649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6494" w:rsidRDefault="0025795E" w:rsidP="00207E52">
      <w:pPr>
        <w:tabs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7131A4" wp14:editId="0E8A2477">
            <wp:extent cx="5362575" cy="37147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8A6494" w:rsidSect="00181F8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BC"/>
    <w:rsid w:val="00000AEE"/>
    <w:rsid w:val="000032ED"/>
    <w:rsid w:val="00004CD7"/>
    <w:rsid w:val="00014842"/>
    <w:rsid w:val="00021330"/>
    <w:rsid w:val="000232F4"/>
    <w:rsid w:val="00024040"/>
    <w:rsid w:val="00025DF2"/>
    <w:rsid w:val="000325D0"/>
    <w:rsid w:val="00034DA3"/>
    <w:rsid w:val="00036DAF"/>
    <w:rsid w:val="00042396"/>
    <w:rsid w:val="000424F1"/>
    <w:rsid w:val="0004598A"/>
    <w:rsid w:val="00045EF0"/>
    <w:rsid w:val="00046920"/>
    <w:rsid w:val="00071D9C"/>
    <w:rsid w:val="00074DA3"/>
    <w:rsid w:val="0008170F"/>
    <w:rsid w:val="00091063"/>
    <w:rsid w:val="0009504F"/>
    <w:rsid w:val="000967D2"/>
    <w:rsid w:val="000A1772"/>
    <w:rsid w:val="000A24AA"/>
    <w:rsid w:val="000B2A73"/>
    <w:rsid w:val="000B4090"/>
    <w:rsid w:val="000C5FDA"/>
    <w:rsid w:val="000C6326"/>
    <w:rsid w:val="000D04AF"/>
    <w:rsid w:val="000E254E"/>
    <w:rsid w:val="000E319C"/>
    <w:rsid w:val="000E5787"/>
    <w:rsid w:val="000F73DE"/>
    <w:rsid w:val="00100059"/>
    <w:rsid w:val="00105521"/>
    <w:rsid w:val="001056A1"/>
    <w:rsid w:val="00111171"/>
    <w:rsid w:val="001132DF"/>
    <w:rsid w:val="0011799F"/>
    <w:rsid w:val="00122B97"/>
    <w:rsid w:val="00125FE9"/>
    <w:rsid w:val="0013169A"/>
    <w:rsid w:val="00131A3F"/>
    <w:rsid w:val="001331C7"/>
    <w:rsid w:val="001338CE"/>
    <w:rsid w:val="001414B3"/>
    <w:rsid w:val="00146BE4"/>
    <w:rsid w:val="001514A7"/>
    <w:rsid w:val="00152494"/>
    <w:rsid w:val="001527DE"/>
    <w:rsid w:val="00154BBF"/>
    <w:rsid w:val="00157134"/>
    <w:rsid w:val="0016427B"/>
    <w:rsid w:val="00171085"/>
    <w:rsid w:val="00174938"/>
    <w:rsid w:val="001779F4"/>
    <w:rsid w:val="00177FD0"/>
    <w:rsid w:val="00181F8A"/>
    <w:rsid w:val="00184C20"/>
    <w:rsid w:val="00190209"/>
    <w:rsid w:val="001A23C6"/>
    <w:rsid w:val="001A53B4"/>
    <w:rsid w:val="001B3CB2"/>
    <w:rsid w:val="001B4020"/>
    <w:rsid w:val="001C005B"/>
    <w:rsid w:val="001D45B4"/>
    <w:rsid w:val="001D50E0"/>
    <w:rsid w:val="001E339A"/>
    <w:rsid w:val="001E4AB8"/>
    <w:rsid w:val="001F1BB1"/>
    <w:rsid w:val="001F1F89"/>
    <w:rsid w:val="001F7663"/>
    <w:rsid w:val="00200543"/>
    <w:rsid w:val="00206B49"/>
    <w:rsid w:val="00206EEB"/>
    <w:rsid w:val="00207E52"/>
    <w:rsid w:val="00211BD8"/>
    <w:rsid w:val="00215141"/>
    <w:rsid w:val="002166E0"/>
    <w:rsid w:val="00220920"/>
    <w:rsid w:val="00223BD2"/>
    <w:rsid w:val="00224909"/>
    <w:rsid w:val="002249E6"/>
    <w:rsid w:val="00237078"/>
    <w:rsid w:val="00243F44"/>
    <w:rsid w:val="00244045"/>
    <w:rsid w:val="00253C06"/>
    <w:rsid w:val="0025795E"/>
    <w:rsid w:val="00275237"/>
    <w:rsid w:val="00276F54"/>
    <w:rsid w:val="002807C7"/>
    <w:rsid w:val="00286FAA"/>
    <w:rsid w:val="00292D51"/>
    <w:rsid w:val="00293013"/>
    <w:rsid w:val="0029402F"/>
    <w:rsid w:val="002A3766"/>
    <w:rsid w:val="002A66AB"/>
    <w:rsid w:val="002B0080"/>
    <w:rsid w:val="002B066A"/>
    <w:rsid w:val="002B0D0C"/>
    <w:rsid w:val="002B40B1"/>
    <w:rsid w:val="002C2AB2"/>
    <w:rsid w:val="002D1DC2"/>
    <w:rsid w:val="002E7900"/>
    <w:rsid w:val="002F19E1"/>
    <w:rsid w:val="002F419F"/>
    <w:rsid w:val="00301B3B"/>
    <w:rsid w:val="00306F0F"/>
    <w:rsid w:val="003102B1"/>
    <w:rsid w:val="00310B0C"/>
    <w:rsid w:val="00310F0C"/>
    <w:rsid w:val="003211D7"/>
    <w:rsid w:val="00322AF0"/>
    <w:rsid w:val="00324B50"/>
    <w:rsid w:val="003250DE"/>
    <w:rsid w:val="0034551A"/>
    <w:rsid w:val="00350234"/>
    <w:rsid w:val="00352849"/>
    <w:rsid w:val="003541A0"/>
    <w:rsid w:val="0035668E"/>
    <w:rsid w:val="00356AA9"/>
    <w:rsid w:val="003675C1"/>
    <w:rsid w:val="00372EFB"/>
    <w:rsid w:val="003767CA"/>
    <w:rsid w:val="00390C4D"/>
    <w:rsid w:val="0039219C"/>
    <w:rsid w:val="0039407A"/>
    <w:rsid w:val="003948B7"/>
    <w:rsid w:val="003962DF"/>
    <w:rsid w:val="003A0325"/>
    <w:rsid w:val="003A30BF"/>
    <w:rsid w:val="003A47CC"/>
    <w:rsid w:val="003B01B0"/>
    <w:rsid w:val="003B4DD6"/>
    <w:rsid w:val="003C2AE3"/>
    <w:rsid w:val="003D0B1A"/>
    <w:rsid w:val="003D1728"/>
    <w:rsid w:val="003D4236"/>
    <w:rsid w:val="003D748A"/>
    <w:rsid w:val="003E1376"/>
    <w:rsid w:val="003E1EA5"/>
    <w:rsid w:val="003E2093"/>
    <w:rsid w:val="003E28CD"/>
    <w:rsid w:val="003F0E34"/>
    <w:rsid w:val="003F0EAD"/>
    <w:rsid w:val="003F47D4"/>
    <w:rsid w:val="003F5383"/>
    <w:rsid w:val="004033FB"/>
    <w:rsid w:val="0040461E"/>
    <w:rsid w:val="00410619"/>
    <w:rsid w:val="00414FE1"/>
    <w:rsid w:val="0041781B"/>
    <w:rsid w:val="00423443"/>
    <w:rsid w:val="0043208E"/>
    <w:rsid w:val="00433D36"/>
    <w:rsid w:val="004600D6"/>
    <w:rsid w:val="00461817"/>
    <w:rsid w:val="00471D63"/>
    <w:rsid w:val="004722DF"/>
    <w:rsid w:val="0047307E"/>
    <w:rsid w:val="00476146"/>
    <w:rsid w:val="00476BD8"/>
    <w:rsid w:val="00477AA0"/>
    <w:rsid w:val="00481019"/>
    <w:rsid w:val="00481E69"/>
    <w:rsid w:val="00483E88"/>
    <w:rsid w:val="004912A9"/>
    <w:rsid w:val="004930E8"/>
    <w:rsid w:val="004B7897"/>
    <w:rsid w:val="004B7D47"/>
    <w:rsid w:val="004C3FC6"/>
    <w:rsid w:val="004D0CB6"/>
    <w:rsid w:val="004D41A4"/>
    <w:rsid w:val="004D4E45"/>
    <w:rsid w:val="004D6B30"/>
    <w:rsid w:val="004D7D84"/>
    <w:rsid w:val="004E2AA7"/>
    <w:rsid w:val="004E407D"/>
    <w:rsid w:val="00500D33"/>
    <w:rsid w:val="00501780"/>
    <w:rsid w:val="00504ECE"/>
    <w:rsid w:val="00507139"/>
    <w:rsid w:val="0052022E"/>
    <w:rsid w:val="0052393D"/>
    <w:rsid w:val="00523E0B"/>
    <w:rsid w:val="005436B8"/>
    <w:rsid w:val="005532D8"/>
    <w:rsid w:val="00557357"/>
    <w:rsid w:val="00561CEF"/>
    <w:rsid w:val="00576769"/>
    <w:rsid w:val="00580696"/>
    <w:rsid w:val="00585952"/>
    <w:rsid w:val="00587787"/>
    <w:rsid w:val="00590772"/>
    <w:rsid w:val="005907BA"/>
    <w:rsid w:val="00595573"/>
    <w:rsid w:val="005A4F93"/>
    <w:rsid w:val="005B50FA"/>
    <w:rsid w:val="005B6A52"/>
    <w:rsid w:val="005C0145"/>
    <w:rsid w:val="005D35B0"/>
    <w:rsid w:val="005D61D0"/>
    <w:rsid w:val="005E0544"/>
    <w:rsid w:val="005E0FAD"/>
    <w:rsid w:val="005E64C8"/>
    <w:rsid w:val="005E6F4D"/>
    <w:rsid w:val="005F11D6"/>
    <w:rsid w:val="005F16FA"/>
    <w:rsid w:val="005F2DF2"/>
    <w:rsid w:val="005F349B"/>
    <w:rsid w:val="005F369D"/>
    <w:rsid w:val="005F4A33"/>
    <w:rsid w:val="005F4EAD"/>
    <w:rsid w:val="006044A7"/>
    <w:rsid w:val="006072ED"/>
    <w:rsid w:val="00613813"/>
    <w:rsid w:val="00615018"/>
    <w:rsid w:val="00620920"/>
    <w:rsid w:val="00626389"/>
    <w:rsid w:val="0062792C"/>
    <w:rsid w:val="006342B4"/>
    <w:rsid w:val="00647A58"/>
    <w:rsid w:val="006506B4"/>
    <w:rsid w:val="00653CDF"/>
    <w:rsid w:val="00654CD3"/>
    <w:rsid w:val="00656CE3"/>
    <w:rsid w:val="00656DB7"/>
    <w:rsid w:val="006638C7"/>
    <w:rsid w:val="00664DBF"/>
    <w:rsid w:val="00665931"/>
    <w:rsid w:val="00667DDA"/>
    <w:rsid w:val="00674708"/>
    <w:rsid w:val="00674893"/>
    <w:rsid w:val="00680A67"/>
    <w:rsid w:val="00681382"/>
    <w:rsid w:val="00692D48"/>
    <w:rsid w:val="00693E72"/>
    <w:rsid w:val="00694B97"/>
    <w:rsid w:val="006A201B"/>
    <w:rsid w:val="006A2C66"/>
    <w:rsid w:val="006A6B2C"/>
    <w:rsid w:val="006B2AEA"/>
    <w:rsid w:val="006B2C19"/>
    <w:rsid w:val="006B6913"/>
    <w:rsid w:val="006C0304"/>
    <w:rsid w:val="006C47A9"/>
    <w:rsid w:val="006C5FA2"/>
    <w:rsid w:val="006D108B"/>
    <w:rsid w:val="006D5988"/>
    <w:rsid w:val="006E1877"/>
    <w:rsid w:val="006E31B2"/>
    <w:rsid w:val="006E7ADD"/>
    <w:rsid w:val="006F4D3C"/>
    <w:rsid w:val="00703895"/>
    <w:rsid w:val="0070430A"/>
    <w:rsid w:val="00707C68"/>
    <w:rsid w:val="00710F2C"/>
    <w:rsid w:val="0072361A"/>
    <w:rsid w:val="00746230"/>
    <w:rsid w:val="00747BD1"/>
    <w:rsid w:val="00750E93"/>
    <w:rsid w:val="00760BD5"/>
    <w:rsid w:val="00761BF1"/>
    <w:rsid w:val="00766F4D"/>
    <w:rsid w:val="00770E45"/>
    <w:rsid w:val="00773AF0"/>
    <w:rsid w:val="00774455"/>
    <w:rsid w:val="007777D5"/>
    <w:rsid w:val="0079761D"/>
    <w:rsid w:val="007A03ED"/>
    <w:rsid w:val="007A2070"/>
    <w:rsid w:val="007B1218"/>
    <w:rsid w:val="007B5522"/>
    <w:rsid w:val="007B7149"/>
    <w:rsid w:val="007C63D6"/>
    <w:rsid w:val="007C6B0D"/>
    <w:rsid w:val="007D1494"/>
    <w:rsid w:val="007D4165"/>
    <w:rsid w:val="007E68DF"/>
    <w:rsid w:val="007E7111"/>
    <w:rsid w:val="007F3FD4"/>
    <w:rsid w:val="00801C46"/>
    <w:rsid w:val="0080476D"/>
    <w:rsid w:val="00804BA5"/>
    <w:rsid w:val="008067D8"/>
    <w:rsid w:val="00813B5A"/>
    <w:rsid w:val="00816331"/>
    <w:rsid w:val="00817A0B"/>
    <w:rsid w:val="008214B0"/>
    <w:rsid w:val="0082298A"/>
    <w:rsid w:val="00824F4E"/>
    <w:rsid w:val="008311C7"/>
    <w:rsid w:val="00832A65"/>
    <w:rsid w:val="00834DDA"/>
    <w:rsid w:val="00835245"/>
    <w:rsid w:val="00842DDB"/>
    <w:rsid w:val="00846E04"/>
    <w:rsid w:val="00852DE9"/>
    <w:rsid w:val="00854AE4"/>
    <w:rsid w:val="00856F0B"/>
    <w:rsid w:val="00860142"/>
    <w:rsid w:val="00867B5F"/>
    <w:rsid w:val="00874E1C"/>
    <w:rsid w:val="008809E6"/>
    <w:rsid w:val="00881619"/>
    <w:rsid w:val="00882B26"/>
    <w:rsid w:val="00883445"/>
    <w:rsid w:val="008836A3"/>
    <w:rsid w:val="008842BB"/>
    <w:rsid w:val="008A41FA"/>
    <w:rsid w:val="008A5B0D"/>
    <w:rsid w:val="008A6494"/>
    <w:rsid w:val="008B3900"/>
    <w:rsid w:val="008C2D0C"/>
    <w:rsid w:val="008C6629"/>
    <w:rsid w:val="008E1922"/>
    <w:rsid w:val="008E35A3"/>
    <w:rsid w:val="008E5E53"/>
    <w:rsid w:val="008E66E4"/>
    <w:rsid w:val="008F0CE0"/>
    <w:rsid w:val="008F2E7C"/>
    <w:rsid w:val="008F360A"/>
    <w:rsid w:val="00902D2D"/>
    <w:rsid w:val="009041E4"/>
    <w:rsid w:val="00904222"/>
    <w:rsid w:val="009059CD"/>
    <w:rsid w:val="00913A64"/>
    <w:rsid w:val="009143BF"/>
    <w:rsid w:val="009159F7"/>
    <w:rsid w:val="00921884"/>
    <w:rsid w:val="00926A36"/>
    <w:rsid w:val="00927E21"/>
    <w:rsid w:val="0093024B"/>
    <w:rsid w:val="00932421"/>
    <w:rsid w:val="0093268C"/>
    <w:rsid w:val="00933418"/>
    <w:rsid w:val="00951AF4"/>
    <w:rsid w:val="00955ECD"/>
    <w:rsid w:val="00963F2E"/>
    <w:rsid w:val="0096613D"/>
    <w:rsid w:val="00967E98"/>
    <w:rsid w:val="009767BC"/>
    <w:rsid w:val="009771A5"/>
    <w:rsid w:val="00992542"/>
    <w:rsid w:val="009972E2"/>
    <w:rsid w:val="009A6B75"/>
    <w:rsid w:val="009B2249"/>
    <w:rsid w:val="009B37EB"/>
    <w:rsid w:val="009D1799"/>
    <w:rsid w:val="009D352A"/>
    <w:rsid w:val="009E0EA8"/>
    <w:rsid w:val="009E2C98"/>
    <w:rsid w:val="009E38F6"/>
    <w:rsid w:val="009E3B51"/>
    <w:rsid w:val="009E4DB1"/>
    <w:rsid w:val="009E6EA5"/>
    <w:rsid w:val="009E6EBA"/>
    <w:rsid w:val="009F601C"/>
    <w:rsid w:val="00A10EC8"/>
    <w:rsid w:val="00A15337"/>
    <w:rsid w:val="00A3210C"/>
    <w:rsid w:val="00A33E4B"/>
    <w:rsid w:val="00A35219"/>
    <w:rsid w:val="00A4278F"/>
    <w:rsid w:val="00A42F16"/>
    <w:rsid w:val="00A43519"/>
    <w:rsid w:val="00A465E9"/>
    <w:rsid w:val="00A522F7"/>
    <w:rsid w:val="00A55AE5"/>
    <w:rsid w:val="00A563E1"/>
    <w:rsid w:val="00A56A9E"/>
    <w:rsid w:val="00A63C9A"/>
    <w:rsid w:val="00A670C7"/>
    <w:rsid w:val="00A76AAC"/>
    <w:rsid w:val="00A841CC"/>
    <w:rsid w:val="00A8531E"/>
    <w:rsid w:val="00A90726"/>
    <w:rsid w:val="00A96A9E"/>
    <w:rsid w:val="00AA21C3"/>
    <w:rsid w:val="00AA2786"/>
    <w:rsid w:val="00AA6630"/>
    <w:rsid w:val="00AA7BBA"/>
    <w:rsid w:val="00AA7C12"/>
    <w:rsid w:val="00AC0EEB"/>
    <w:rsid w:val="00AD102C"/>
    <w:rsid w:val="00AE0148"/>
    <w:rsid w:val="00AE1872"/>
    <w:rsid w:val="00B03AAC"/>
    <w:rsid w:val="00B074E4"/>
    <w:rsid w:val="00B11EB3"/>
    <w:rsid w:val="00B141E4"/>
    <w:rsid w:val="00B27752"/>
    <w:rsid w:val="00B320C5"/>
    <w:rsid w:val="00B360FA"/>
    <w:rsid w:val="00B4067F"/>
    <w:rsid w:val="00B51D65"/>
    <w:rsid w:val="00B531BA"/>
    <w:rsid w:val="00B55D32"/>
    <w:rsid w:val="00B601AE"/>
    <w:rsid w:val="00B64EB5"/>
    <w:rsid w:val="00B6796A"/>
    <w:rsid w:val="00B755C4"/>
    <w:rsid w:val="00B758E1"/>
    <w:rsid w:val="00B85BB9"/>
    <w:rsid w:val="00B91EDC"/>
    <w:rsid w:val="00B921A7"/>
    <w:rsid w:val="00B954AA"/>
    <w:rsid w:val="00BA7C0B"/>
    <w:rsid w:val="00BA7D82"/>
    <w:rsid w:val="00BB16B4"/>
    <w:rsid w:val="00BB677E"/>
    <w:rsid w:val="00BC5E59"/>
    <w:rsid w:val="00BD26F3"/>
    <w:rsid w:val="00BD2DE6"/>
    <w:rsid w:val="00BD4318"/>
    <w:rsid w:val="00BE6D7D"/>
    <w:rsid w:val="00BE79C2"/>
    <w:rsid w:val="00C014CF"/>
    <w:rsid w:val="00C057A0"/>
    <w:rsid w:val="00C10D2A"/>
    <w:rsid w:val="00C12B23"/>
    <w:rsid w:val="00C12E3F"/>
    <w:rsid w:val="00C13F1D"/>
    <w:rsid w:val="00C21074"/>
    <w:rsid w:val="00C23D2F"/>
    <w:rsid w:val="00C35A04"/>
    <w:rsid w:val="00C374D5"/>
    <w:rsid w:val="00C42274"/>
    <w:rsid w:val="00C47E93"/>
    <w:rsid w:val="00C510C4"/>
    <w:rsid w:val="00C5674C"/>
    <w:rsid w:val="00C56A7A"/>
    <w:rsid w:val="00C62FB9"/>
    <w:rsid w:val="00C65CEA"/>
    <w:rsid w:val="00C75AC3"/>
    <w:rsid w:val="00C8192E"/>
    <w:rsid w:val="00C83469"/>
    <w:rsid w:val="00C84B61"/>
    <w:rsid w:val="00CA1708"/>
    <w:rsid w:val="00CA2B46"/>
    <w:rsid w:val="00CA5103"/>
    <w:rsid w:val="00CB14EC"/>
    <w:rsid w:val="00CB244C"/>
    <w:rsid w:val="00CC0BDC"/>
    <w:rsid w:val="00CC0FF7"/>
    <w:rsid w:val="00CC1F32"/>
    <w:rsid w:val="00CD3573"/>
    <w:rsid w:val="00CE2BAF"/>
    <w:rsid w:val="00CE4EB0"/>
    <w:rsid w:val="00CF2131"/>
    <w:rsid w:val="00D0131E"/>
    <w:rsid w:val="00D051F1"/>
    <w:rsid w:val="00D11DFC"/>
    <w:rsid w:val="00D12C9A"/>
    <w:rsid w:val="00D12E6E"/>
    <w:rsid w:val="00D159C7"/>
    <w:rsid w:val="00D177DA"/>
    <w:rsid w:val="00D215F2"/>
    <w:rsid w:val="00D33A85"/>
    <w:rsid w:val="00D42127"/>
    <w:rsid w:val="00D47618"/>
    <w:rsid w:val="00D47EDC"/>
    <w:rsid w:val="00D528B1"/>
    <w:rsid w:val="00D53B3E"/>
    <w:rsid w:val="00D66B8A"/>
    <w:rsid w:val="00D7643C"/>
    <w:rsid w:val="00D90951"/>
    <w:rsid w:val="00D91B78"/>
    <w:rsid w:val="00D94BF8"/>
    <w:rsid w:val="00D960A0"/>
    <w:rsid w:val="00DA0F1E"/>
    <w:rsid w:val="00DA139B"/>
    <w:rsid w:val="00DB30A9"/>
    <w:rsid w:val="00DB4866"/>
    <w:rsid w:val="00DB55BD"/>
    <w:rsid w:val="00DC0F15"/>
    <w:rsid w:val="00DC24CB"/>
    <w:rsid w:val="00DC46EA"/>
    <w:rsid w:val="00DD6582"/>
    <w:rsid w:val="00DE4842"/>
    <w:rsid w:val="00DF636B"/>
    <w:rsid w:val="00E10289"/>
    <w:rsid w:val="00E1146D"/>
    <w:rsid w:val="00E12D53"/>
    <w:rsid w:val="00E130EB"/>
    <w:rsid w:val="00E21F05"/>
    <w:rsid w:val="00E25F92"/>
    <w:rsid w:val="00E314E9"/>
    <w:rsid w:val="00E333BC"/>
    <w:rsid w:val="00E35D4C"/>
    <w:rsid w:val="00E3631E"/>
    <w:rsid w:val="00E375A0"/>
    <w:rsid w:val="00E43ED4"/>
    <w:rsid w:val="00E46BA9"/>
    <w:rsid w:val="00E62073"/>
    <w:rsid w:val="00E621A7"/>
    <w:rsid w:val="00E63CBD"/>
    <w:rsid w:val="00E64098"/>
    <w:rsid w:val="00E7785D"/>
    <w:rsid w:val="00E80FFD"/>
    <w:rsid w:val="00E81910"/>
    <w:rsid w:val="00E83D3F"/>
    <w:rsid w:val="00E869AD"/>
    <w:rsid w:val="00E9461F"/>
    <w:rsid w:val="00E964D5"/>
    <w:rsid w:val="00EA2F08"/>
    <w:rsid w:val="00EB06F1"/>
    <w:rsid w:val="00EB1AF5"/>
    <w:rsid w:val="00EC040F"/>
    <w:rsid w:val="00EC049D"/>
    <w:rsid w:val="00EC14C1"/>
    <w:rsid w:val="00EC15E6"/>
    <w:rsid w:val="00EC3227"/>
    <w:rsid w:val="00EC56A7"/>
    <w:rsid w:val="00EC72AA"/>
    <w:rsid w:val="00ED0D68"/>
    <w:rsid w:val="00ED1931"/>
    <w:rsid w:val="00ED3F41"/>
    <w:rsid w:val="00ED585A"/>
    <w:rsid w:val="00ED6402"/>
    <w:rsid w:val="00ED7EAB"/>
    <w:rsid w:val="00EE3FE5"/>
    <w:rsid w:val="00EE6D46"/>
    <w:rsid w:val="00EF2656"/>
    <w:rsid w:val="00EF418B"/>
    <w:rsid w:val="00EF554B"/>
    <w:rsid w:val="00EF6C78"/>
    <w:rsid w:val="00EF7053"/>
    <w:rsid w:val="00F0105D"/>
    <w:rsid w:val="00F179A5"/>
    <w:rsid w:val="00F27C25"/>
    <w:rsid w:val="00F3341F"/>
    <w:rsid w:val="00F33C52"/>
    <w:rsid w:val="00F37B04"/>
    <w:rsid w:val="00F4746C"/>
    <w:rsid w:val="00F5193C"/>
    <w:rsid w:val="00F616CF"/>
    <w:rsid w:val="00F71912"/>
    <w:rsid w:val="00F72376"/>
    <w:rsid w:val="00F73B76"/>
    <w:rsid w:val="00F75E71"/>
    <w:rsid w:val="00F77EBA"/>
    <w:rsid w:val="00F82B32"/>
    <w:rsid w:val="00F833BC"/>
    <w:rsid w:val="00FA42C2"/>
    <w:rsid w:val="00FA43A7"/>
    <w:rsid w:val="00FB22E6"/>
    <w:rsid w:val="00FB4A6D"/>
    <w:rsid w:val="00FC1F25"/>
    <w:rsid w:val="00FC3DF7"/>
    <w:rsid w:val="00FC4E25"/>
    <w:rsid w:val="00FC6209"/>
    <w:rsid w:val="00FD5FE3"/>
    <w:rsid w:val="00FD6FD4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33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833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4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33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833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4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0.14612644938370045"/>
          <c:y val="3.7020062017085881E-2"/>
          <c:w val="0.83938071032260209"/>
          <c:h val="0.62593549996315256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Данные!$D$2</c:f>
              <c:strCache>
                <c:ptCount val="1"/>
                <c:pt idx="0">
                  <c:v>Оборот</c:v>
                </c:pt>
              </c:strCache>
            </c:strRef>
          </c:tx>
          <c:spPr>
            <a:gradFill flip="none" rotWithShape="1">
              <a:gsLst>
                <a:gs pos="0">
                  <a:srgbClr val="DDEBCF">
                    <a:lumMod val="8000"/>
                    <a:lumOff val="92000"/>
                  </a:srgbClr>
                </a:gs>
                <a:gs pos="50000">
                  <a:srgbClr val="9CB86E"/>
                </a:gs>
                <a:gs pos="100000">
                  <a:srgbClr val="156B13"/>
                </a:gs>
              </a:gsLst>
              <a:path path="shape">
                <a:fillToRect l="50000" t="50000" r="50000" b="50000"/>
              </a:path>
              <a:tileRect/>
            </a:gradFill>
            <a:ln>
              <a:noFill/>
            </a:ln>
            <a:scene3d>
              <a:camera prst="orthographicFront"/>
              <a:lightRig rig="morning" dir="t"/>
            </a:scene3d>
            <a:sp3d prstMaterial="dkEdge"/>
          </c:spPr>
          <c:invertIfNegative val="0"/>
          <c:cat>
            <c:strRef>
              <c:f>Данные!$A$5:$A$14</c:f>
              <c:strCache>
                <c:ptCount val="10"/>
                <c:pt idx="0">
                  <c:v>УКРАИНА</c:v>
                </c:pt>
                <c:pt idx="1">
                  <c:v>ИТАЛИЯ</c:v>
                </c:pt>
                <c:pt idx="2">
                  <c:v>КИТАЙ</c:v>
                </c:pt>
                <c:pt idx="3">
                  <c:v>ГЕРМАНИЯ</c:v>
                </c:pt>
                <c:pt idx="4">
                  <c:v>ТУРЦИЯ</c:v>
                </c:pt>
                <c:pt idx="5">
                  <c:v>БЕЛАРУСЬ</c:v>
                </c:pt>
                <c:pt idx="6">
                  <c:v>КАЗАХСТАН</c:v>
                </c:pt>
                <c:pt idx="7">
                  <c:v>УЗБЕКИСТАН</c:v>
                </c:pt>
                <c:pt idx="8">
                  <c:v>НИДЕРЛАНДЫ</c:v>
                </c:pt>
                <c:pt idx="9">
                  <c:v>ЕГИПЕТ</c:v>
                </c:pt>
              </c:strCache>
            </c:strRef>
          </c:cat>
          <c:val>
            <c:numRef>
              <c:f>Данные!$D$5:$D$14</c:f>
              <c:numCache>
                <c:formatCode>#,##0.0</c:formatCode>
                <c:ptCount val="10"/>
                <c:pt idx="0">
                  <c:v>881486.60812999995</c:v>
                </c:pt>
                <c:pt idx="1">
                  <c:v>492689.85667999997</c:v>
                </c:pt>
                <c:pt idx="2">
                  <c:v>460366.36382999999</c:v>
                </c:pt>
                <c:pt idx="3">
                  <c:v>352893.70160000003</c:v>
                </c:pt>
                <c:pt idx="4">
                  <c:v>322263.80423000001</c:v>
                </c:pt>
                <c:pt idx="5">
                  <c:v>280538.58854999999</c:v>
                </c:pt>
                <c:pt idx="6">
                  <c:v>264235.75562000001</c:v>
                </c:pt>
                <c:pt idx="7">
                  <c:v>147262.27712999997</c:v>
                </c:pt>
                <c:pt idx="8">
                  <c:v>120981.24271999999</c:v>
                </c:pt>
                <c:pt idx="9">
                  <c:v>110522.16823000001</c:v>
                </c:pt>
              </c:numCache>
            </c:numRef>
          </c:val>
        </c:ser>
        <c:ser>
          <c:idx val="0"/>
          <c:order val="1"/>
          <c:tx>
            <c:strRef>
              <c:f>Данные!$B$2</c:f>
              <c:strCache>
                <c:ptCount val="1"/>
                <c:pt idx="0">
                  <c:v>Экспорт</c:v>
                </c:pt>
              </c:strCache>
            </c:strRef>
          </c:tx>
          <c:spPr>
            <a:gradFill flip="none" rotWithShape="1">
              <a:gsLst>
                <a:gs pos="0">
                  <a:srgbClr val="000082"/>
                </a:gs>
                <a:gs pos="52000">
                  <a:srgbClr val="0047FF"/>
                </a:gs>
                <a:gs pos="100000">
                  <a:srgbClr val="0047FF"/>
                </a:gs>
              </a:gsLst>
              <a:lin ang="2700000" scaled="1"/>
              <a:tileRect/>
            </a:gradFill>
          </c:spPr>
          <c:invertIfNegative val="0"/>
          <c:cat>
            <c:strRef>
              <c:f>Данные!$A$5:$A$14</c:f>
              <c:strCache>
                <c:ptCount val="10"/>
                <c:pt idx="0">
                  <c:v>УКРАИНА</c:v>
                </c:pt>
                <c:pt idx="1">
                  <c:v>ИТАЛИЯ</c:v>
                </c:pt>
                <c:pt idx="2">
                  <c:v>КИТАЙ</c:v>
                </c:pt>
                <c:pt idx="3">
                  <c:v>ГЕРМАНИЯ</c:v>
                </c:pt>
                <c:pt idx="4">
                  <c:v>ТУРЦИЯ</c:v>
                </c:pt>
                <c:pt idx="5">
                  <c:v>БЕЛАРУСЬ</c:v>
                </c:pt>
                <c:pt idx="6">
                  <c:v>КАЗАХСТАН</c:v>
                </c:pt>
                <c:pt idx="7">
                  <c:v>УЗБЕКИСТАН</c:v>
                </c:pt>
                <c:pt idx="8">
                  <c:v>НИДЕРЛАНДЫ</c:v>
                </c:pt>
                <c:pt idx="9">
                  <c:v>ЕГИПЕТ</c:v>
                </c:pt>
              </c:strCache>
            </c:strRef>
          </c:cat>
          <c:val>
            <c:numRef>
              <c:f>Данные!$B$5:$B$14</c:f>
              <c:numCache>
                <c:formatCode>#,##0.0</c:formatCode>
                <c:ptCount val="10"/>
                <c:pt idx="0">
                  <c:v>261306.21984999999</c:v>
                </c:pt>
                <c:pt idx="1">
                  <c:v>453084.98988999997</c:v>
                </c:pt>
                <c:pt idx="2">
                  <c:v>322318.16527</c:v>
                </c:pt>
                <c:pt idx="3">
                  <c:v>255416.95878000002</c:v>
                </c:pt>
                <c:pt idx="4">
                  <c:v>291489.25774999999</c:v>
                </c:pt>
                <c:pt idx="5">
                  <c:v>169356.95702</c:v>
                </c:pt>
                <c:pt idx="6">
                  <c:v>245611.35677000001</c:v>
                </c:pt>
                <c:pt idx="7">
                  <c:v>142270.50334999998</c:v>
                </c:pt>
                <c:pt idx="8">
                  <c:v>22796.792390000002</c:v>
                </c:pt>
                <c:pt idx="9">
                  <c:v>110135.61201000001</c:v>
                </c:pt>
              </c:numCache>
            </c:numRef>
          </c:val>
        </c:ser>
        <c:ser>
          <c:idx val="1"/>
          <c:order val="2"/>
          <c:tx>
            <c:strRef>
              <c:f>Данные!$C$2</c:f>
              <c:strCache>
                <c:ptCount val="1"/>
                <c:pt idx="0">
                  <c:v>Импорт</c:v>
                </c:pt>
              </c:strCache>
            </c:strRef>
          </c:tx>
          <c:spPr>
            <a:gradFill flip="none" rotWithShape="1">
              <a:gsLst>
                <a:gs pos="0">
                  <a:srgbClr val="FFF200"/>
                </a:gs>
                <a:gs pos="81000">
                  <a:srgbClr val="FF0300"/>
                </a:gs>
                <a:gs pos="100000">
                  <a:srgbClr val="4D0808"/>
                </a:gs>
              </a:gsLst>
              <a:lin ang="2700000" scaled="1"/>
              <a:tileRect/>
            </a:gradFill>
          </c:spPr>
          <c:invertIfNegative val="0"/>
          <c:cat>
            <c:strRef>
              <c:f>Данные!$A$5:$A$14</c:f>
              <c:strCache>
                <c:ptCount val="10"/>
                <c:pt idx="0">
                  <c:v>УКРАИНА</c:v>
                </c:pt>
                <c:pt idx="1">
                  <c:v>ИТАЛИЯ</c:v>
                </c:pt>
                <c:pt idx="2">
                  <c:v>КИТАЙ</c:v>
                </c:pt>
                <c:pt idx="3">
                  <c:v>ГЕРМАНИЯ</c:v>
                </c:pt>
                <c:pt idx="4">
                  <c:v>ТУРЦИЯ</c:v>
                </c:pt>
                <c:pt idx="5">
                  <c:v>БЕЛАРУСЬ</c:v>
                </c:pt>
                <c:pt idx="6">
                  <c:v>КАЗАХСТАН</c:v>
                </c:pt>
                <c:pt idx="7">
                  <c:v>УЗБЕКИСТАН</c:v>
                </c:pt>
                <c:pt idx="8">
                  <c:v>НИДЕРЛАНДЫ</c:v>
                </c:pt>
                <c:pt idx="9">
                  <c:v>ЕГИПЕТ</c:v>
                </c:pt>
              </c:strCache>
            </c:strRef>
          </c:cat>
          <c:val>
            <c:numRef>
              <c:f>Данные!$C$5:$C$14</c:f>
              <c:numCache>
                <c:formatCode>#,##0.0</c:formatCode>
                <c:ptCount val="10"/>
                <c:pt idx="0">
                  <c:v>620180.38827999996</c:v>
                </c:pt>
                <c:pt idx="1">
                  <c:v>39604.86679</c:v>
                </c:pt>
                <c:pt idx="2">
                  <c:v>138048.19855999999</c:v>
                </c:pt>
                <c:pt idx="3">
                  <c:v>97476.742819999999</c:v>
                </c:pt>
                <c:pt idx="4">
                  <c:v>30774.546480000001</c:v>
                </c:pt>
                <c:pt idx="5">
                  <c:v>111181.63153</c:v>
                </c:pt>
                <c:pt idx="6">
                  <c:v>18624.398850000001</c:v>
                </c:pt>
                <c:pt idx="7">
                  <c:v>4991.7737800000004</c:v>
                </c:pt>
                <c:pt idx="8">
                  <c:v>98184.450329999992</c:v>
                </c:pt>
                <c:pt idx="9">
                  <c:v>386.55622000000005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102"/>
        <c:shape val="cylinder"/>
        <c:axId val="240559616"/>
        <c:axId val="240561152"/>
        <c:axId val="0"/>
      </c:bar3DChart>
      <c:catAx>
        <c:axId val="24055961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800"/>
            </a:pPr>
            <a:endParaRPr lang="ru-RU"/>
          </a:p>
        </c:txPr>
        <c:crossAx val="240561152"/>
        <c:crosses val="autoZero"/>
        <c:auto val="1"/>
        <c:lblAlgn val="ctr"/>
        <c:lblOffset val="100"/>
        <c:noMultiLvlLbl val="0"/>
      </c:catAx>
      <c:valAx>
        <c:axId val="24056115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ru-RU" sz="1100"/>
                  <a:t>тыс. долларов США</a:t>
                </a:r>
              </a:p>
            </c:rich>
          </c:tx>
          <c:layout>
            <c:manualLayout>
              <c:xMode val="edge"/>
              <c:yMode val="edge"/>
              <c:x val="1.7625004152961896E-2"/>
              <c:y val="0.14466874146131301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24055961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119868637110018"/>
          <c:y val="0"/>
          <c:w val="0.68691844553913517"/>
          <c:h val="1"/>
        </c:manualLayout>
      </c:layout>
      <c:pieChart>
        <c:varyColors val="1"/>
        <c:ser>
          <c:idx val="0"/>
          <c:order val="0"/>
          <c:explosion val="16"/>
          <c:dPt>
            <c:idx val="0"/>
            <c:bubble3D val="0"/>
          </c:dPt>
          <c:dPt>
            <c:idx val="1"/>
            <c:bubble3D val="0"/>
            <c:explosion val="13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  <c:explosion val="0"/>
          </c:dPt>
          <c:dLbls>
            <c:dLbl>
              <c:idx val="0"/>
              <c:layout>
                <c:manualLayout>
                  <c:x val="-0.13036212270341208"/>
                  <c:y val="5.6893757845486705E-2"/>
                </c:manualLayout>
              </c:layout>
              <c:spPr/>
              <c:txPr>
                <a:bodyPr rot="0"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2383684075417E-2"/>
                  <c:y val="1.675041876046901E-2"/>
                </c:manualLayout>
              </c:layout>
              <c:spPr/>
              <c:txPr>
                <a:bodyPr rot="0"/>
                <a:lstStyle/>
                <a:p>
                  <a:pPr>
                    <a:defRPr b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070803275339082E-3"/>
                  <c:y val="3.93307746079478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Минеральные продукты - 8,5%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299264062580418E-2"/>
                  <c:y val="4.6439546815442038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438062889197674E-2"/>
                  <c:y val="5.445073134702383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Продукция</a:t>
                    </a:r>
                    <a:r>
                      <a:rPr lang="ru-RU" baseline="0"/>
                      <a:t> химической промышленности, каучук</a:t>
                    </a:r>
                    <a:r>
                      <a:rPr lang="ru-RU"/>
                      <a:t>-4,3%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0980392156862745"/>
                  <c:y val="-4.020100502512562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0"/>
              <c:showBubbleSize val="0"/>
            </c:dLbl>
            <c:txPr>
              <a:bodyPr rot="0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1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Экспорт!$D$17:$D$22</c:f>
              <c:strCache>
                <c:ptCount val="6"/>
                <c:pt idx="0">
                  <c:v>Металлы и изделия из них - 69,1%</c:v>
                </c:pt>
                <c:pt idx="1">
                  <c:v>Продовольственные товары и сырье  - 11,7%</c:v>
                </c:pt>
                <c:pt idx="2">
                  <c:v>Минеральные продукты - 8,5%</c:v>
                </c:pt>
                <c:pt idx="3">
                  <c:v>Машиностроительная продукция - 5,4%</c:v>
                </c:pt>
                <c:pt idx="4">
                  <c:v>Продукция химической промышленности,каучук - 4,3%</c:v>
                </c:pt>
                <c:pt idx="5">
                  <c:v>Другие товары -1,0%</c:v>
                </c:pt>
              </c:strCache>
            </c:strRef>
          </c:cat>
          <c:val>
            <c:numRef>
              <c:f>Экспорт!$E$17:$E$22</c:f>
              <c:numCache>
                <c:formatCode>0.0</c:formatCode>
                <c:ptCount val="6"/>
                <c:pt idx="0">
                  <c:v>69.099999999999994</c:v>
                </c:pt>
                <c:pt idx="1">
                  <c:v>11.7</c:v>
                </c:pt>
                <c:pt idx="2">
                  <c:v>8.5</c:v>
                </c:pt>
                <c:pt idx="3">
                  <c:v>5.4</c:v>
                </c:pt>
                <c:pt idx="4">
                  <c:v>4.3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296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0285515820291558"/>
          <c:y val="0.10071902550642708"/>
          <c:w val="0.63986060849752047"/>
          <c:h val="0.84420866489832003"/>
        </c:manualLayout>
      </c:layout>
      <c:pieChart>
        <c:varyColors val="1"/>
        <c:ser>
          <c:idx val="0"/>
          <c:order val="0"/>
          <c:explosion val="6"/>
          <c:dLbls>
            <c:dLbl>
              <c:idx val="0"/>
              <c:layout>
                <c:manualLayout>
                  <c:x val="-0.20122294725222073"/>
                  <c:y val="0.16760212665724478"/>
                </c:manualLayout>
              </c:layout>
              <c:tx>
                <c:rich>
                  <a:bodyPr rot="0"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ru-RU"/>
                      <a:t> </a:t>
                    </a:r>
                    <a:r>
                      <a:rPr lang="ru-RU" sz="1000" b="0" i="0" u="none" strike="noStrike">
                        <a:solidFill>
                          <a:srgbClr val="FF0000"/>
                        </a:solidFill>
                        <a:effectLst/>
                        <a:latin typeface="Times New Roman"/>
                      </a:rPr>
                      <a:t> </a:t>
                    </a:r>
                    <a:r>
                      <a:rPr lang="ru-RU" sz="1000" b="1" i="0" u="none" strike="noStrike">
                        <a:solidFill>
                          <a:schemeClr val="bg1"/>
                        </a:solidFill>
                        <a:effectLst/>
                        <a:latin typeface="Times New Roman"/>
                      </a:rPr>
                      <a:t>Машиностроительная продукция - 36,8%</a:t>
                    </a:r>
                    <a:r>
                      <a:rPr lang="ru-RU" b="1" i="0">
                        <a:solidFill>
                          <a:schemeClr val="bg1"/>
                        </a:solidFill>
                      </a:rPr>
                      <a:t>  </a:t>
                    </a:r>
                  </a:p>
                </c:rich>
              </c:tx>
              <c:spPr>
                <a:ln>
                  <a:noFill/>
                </a:ln>
              </c:spPr>
              <c:dLblPos val="bestFit"/>
              <c:showLegendKey val="1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2237651536018793"/>
                  <c:y val="-0.17272790901137358"/>
                </c:manualLayout>
              </c:layout>
              <c:spPr>
                <a:ln>
                  <a:noFill/>
                </a:ln>
              </c:spPr>
              <c:txPr>
                <a:bodyPr rot="0"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4878393309184487"/>
                  <c:y val="-0.1858507301971869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chemeClr val="bg1"/>
                        </a:solidFill>
                      </a:rPr>
                      <a:t> Металлы и изделия из них - 18,4%</a:t>
                    </a:r>
                    <a:r>
                      <a:rPr lang="ru-RU" sz="1000" b="1" i="0" u="none" strike="noStrike">
                        <a:solidFill>
                          <a:schemeClr val="bg1"/>
                        </a:solidFill>
                        <a:effectLst/>
                        <a:latin typeface="Times New Roman"/>
                      </a:rPr>
                      <a:t>  </a:t>
                    </a:r>
                    <a:r>
                      <a:rPr lang="ru-RU" b="1">
                        <a:solidFill>
                          <a:schemeClr val="bg1"/>
                        </a:solidFill>
                      </a:rPr>
                      <a:t> 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209591474245113E-2"/>
                  <c:y val="2.946012517666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>
                        <a:solidFill>
                          <a:sysClr val="windowText" lastClr="000000"/>
                        </a:solidFill>
                        <a:effectLst/>
                        <a:latin typeface="Times New Roman"/>
                      </a:rPr>
                      <a:t>Продовольственные товары и сырье - 9,9%</a:t>
                    </a:r>
                    <a:r>
                      <a:rPr lang="ru-RU" b="0">
                        <a:solidFill>
                          <a:sysClr val="windowText" lastClr="000000"/>
                        </a:solidFill>
                      </a:rPr>
                      <a:t> </a:t>
                    </a:r>
                    <a:endParaRPr lang="ru-RU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5.85422975974157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Минеральные продукты - 2,6%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074068894141352E-2"/>
                  <c:y val="-1.709401709401709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0"/>
              <c:showBubbleSize val="0"/>
            </c:dLbl>
            <c:spPr>
              <a:ln>
                <a:noFill/>
              </a:ln>
            </c:spPr>
            <c:txPr>
              <a:bodyPr rot="0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1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Импорт!$D$17:$D$22</c:f>
              <c:strCache>
                <c:ptCount val="6"/>
                <c:pt idx="0">
                  <c:v> Машиностроительная продукция - 36,8%</c:v>
                </c:pt>
                <c:pt idx="1">
                  <c:v> Продукция химической промышленности, каучук - 23,2%</c:v>
                </c:pt>
                <c:pt idx="2">
                  <c:v> Металлы и изделия из них - 18,4%</c:v>
                </c:pt>
                <c:pt idx="3">
                  <c:v>Продовольственные товары и сырье - 9,9%</c:v>
                </c:pt>
                <c:pt idx="4">
                  <c:v>Минеральные продукты - 2,6%</c:v>
                </c:pt>
                <c:pt idx="5">
                  <c:v>Другие товары - 9,1%</c:v>
                </c:pt>
              </c:strCache>
            </c:strRef>
          </c:cat>
          <c:val>
            <c:numRef>
              <c:f>Импорт!$E$17:$E$22</c:f>
              <c:numCache>
                <c:formatCode>0.0</c:formatCode>
                <c:ptCount val="6"/>
                <c:pt idx="0">
                  <c:v>36.799999999999997</c:v>
                </c:pt>
                <c:pt idx="1">
                  <c:v>23.2</c:v>
                </c:pt>
                <c:pt idx="2">
                  <c:v>18.399999999999999</c:v>
                </c:pt>
                <c:pt idx="3">
                  <c:v>9.9</c:v>
                </c:pt>
                <c:pt idx="4">
                  <c:v>2.6</c:v>
                </c:pt>
                <c:pt idx="5">
                  <c:v>9.1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32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4D14-476E-4445-839D-919F8FEE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Яна Корнелиевна</dc:creator>
  <cp:lastModifiedBy>Титова Елена Владимировна</cp:lastModifiedBy>
  <cp:revision>248</cp:revision>
  <cp:lastPrinted>2020-03-04T08:34:00Z</cp:lastPrinted>
  <dcterms:created xsi:type="dcterms:W3CDTF">2017-12-04T10:52:00Z</dcterms:created>
  <dcterms:modified xsi:type="dcterms:W3CDTF">2020-03-10T08:15:00Z</dcterms:modified>
</cp:coreProperties>
</file>